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34276550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6D154CE" w14:textId="6A9078D2" w:rsidR="00117B14" w:rsidRDefault="00877EAE">
          <w:pPr>
            <w:pStyle w:val="ac"/>
          </w:pPr>
          <w:r w:rsidRPr="00877EAE">
            <w:rPr>
              <w:lang w:val="ru-RU"/>
            </w:rPr>
            <w:t>Содержание</w:t>
          </w:r>
        </w:p>
        <w:p w14:paraId="518275F9" w14:textId="77777777" w:rsidR="00F43E80" w:rsidRDefault="00942725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>TOC \o "1-3" \h \z \u</w:instrText>
          </w:r>
          <w:r>
            <w:fldChar w:fldCharType="separate"/>
          </w:r>
          <w:hyperlink w:anchor="_Toc303323981" w:history="1">
            <w:r w:rsidR="00F43E80" w:rsidRPr="005C2914">
              <w:rPr>
                <w:rStyle w:val="ad"/>
                <w:noProof/>
                <w:lang w:val="ru-RU"/>
              </w:rPr>
              <w:t>PROSEWARE, INC. — КРАТКИЙ ОБЗОР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_Toc303323981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1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14F4C18D" w14:textId="77777777" w:rsidR="00F43E80" w:rsidRDefault="00354263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2" w:history="1">
            <w:r w:rsidR="00F43E80" w:rsidRPr="005C2914">
              <w:rPr>
                <w:rStyle w:val="ad"/>
                <w:noProof/>
                <w:lang w:val="ru-RU"/>
              </w:rPr>
              <w:t>КОММЕРЧЕСКОЕ ПРЕДЛОЖЕНИЕ компании FABRIKAM RECORDS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_Toc303323982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1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0CB20DE0" w14:textId="77777777" w:rsidR="00F43E80" w:rsidRDefault="00354263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3" w:history="1">
            <w:r w:rsidR="00F43E80" w:rsidRPr="005C2914">
              <w:rPr>
                <w:rStyle w:val="ad"/>
                <w:noProof/>
                <w:lang w:val="ru-RU"/>
              </w:rPr>
              <w:t>ТЕКУЩАЯ СИТУАЦИЯ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_Toc303323983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1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25CB0113" w14:textId="77777777" w:rsidR="00F43E80" w:rsidRDefault="00354263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4" w:history="1">
            <w:r w:rsidR="00F43E80" w:rsidRPr="005C2914">
              <w:rPr>
                <w:rStyle w:val="ad"/>
                <w:noProof/>
                <w:lang w:val="ru-RU"/>
              </w:rPr>
              <w:t>ЗАТРАТЫ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_Toc303323984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2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77F5004E" w14:textId="77777777" w:rsidR="00F43E80" w:rsidRDefault="00354263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5" w:history="1">
            <w:r w:rsidR="00F43E80" w:rsidRPr="005C2914">
              <w:rPr>
                <w:rStyle w:val="ad"/>
                <w:noProof/>
                <w:lang w:val="ru-RU"/>
              </w:rPr>
              <w:t>ПЛАН РЕАЛИЗАЦИИ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_Toc303323985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3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0D199857" w14:textId="77777777" w:rsidR="00F43E80" w:rsidRDefault="00354263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6" w:history="1">
            <w:r w:rsidR="00F43E80" w:rsidRPr="005C2914">
              <w:rPr>
                <w:rStyle w:val="ad"/>
                <w:noProof/>
                <w:lang w:val="ru-RU"/>
              </w:rPr>
              <w:t>ПРЕИМУЩЕСТВА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_Toc303323986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3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29F5F994" w14:textId="77777777" w:rsidR="00F43E80" w:rsidRDefault="00354263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03323987" w:history="1">
            <w:r w:rsidR="00F43E80" w:rsidRPr="005C2914">
              <w:rPr>
                <w:rStyle w:val="ad"/>
                <w:noProof/>
                <w:lang w:val="ru-RU"/>
              </w:rPr>
              <w:t>ЗАКЛЮЧЕНИЕ</w:t>
            </w:r>
            <w:r w:rsidR="00F43E80">
              <w:rPr>
                <w:noProof/>
                <w:webHidden/>
              </w:rPr>
              <w:tab/>
            </w:r>
            <w:r w:rsidR="00F43E80">
              <w:rPr>
                <w:noProof/>
                <w:webHidden/>
              </w:rPr>
              <w:fldChar w:fldCharType="begin"/>
            </w:r>
            <w:r w:rsidR="00F43E80">
              <w:rPr>
                <w:noProof/>
                <w:webHidden/>
              </w:rPr>
              <w:instrText xml:space="preserve"> PAGEREF _Toc303323987 \h </w:instrText>
            </w:r>
            <w:r w:rsidR="00F43E80">
              <w:rPr>
                <w:noProof/>
                <w:webHidden/>
              </w:rPr>
            </w:r>
            <w:r w:rsidR="00F43E80">
              <w:rPr>
                <w:noProof/>
                <w:webHidden/>
              </w:rPr>
              <w:fldChar w:fldCharType="separate"/>
            </w:r>
            <w:r w:rsidR="00877EAE">
              <w:rPr>
                <w:noProof/>
                <w:webHidden/>
              </w:rPr>
              <w:t>4</w:t>
            </w:r>
            <w:r w:rsidR="00F43E80">
              <w:rPr>
                <w:noProof/>
                <w:webHidden/>
              </w:rPr>
              <w:fldChar w:fldCharType="end"/>
            </w:r>
          </w:hyperlink>
        </w:p>
        <w:p w14:paraId="26D154D6" w14:textId="77777777" w:rsidR="00117B14" w:rsidRDefault="00942725">
          <w:r>
            <w:rPr>
              <w:b/>
              <w:bCs/>
              <w:noProof/>
            </w:rPr>
            <w:fldChar w:fldCharType="end"/>
          </w:r>
        </w:p>
      </w:sdtContent>
    </w:sdt>
    <w:p w14:paraId="26D154D7" w14:textId="77777777" w:rsidR="00117B14" w:rsidRDefault="00942725">
      <w:pPr>
        <w:pStyle w:val="1"/>
      </w:pPr>
      <w:bookmarkStart w:id="1" w:name="_Toc303323981"/>
      <w:r>
        <w:rPr>
          <w:lang w:val="ru-RU"/>
        </w:rPr>
        <w:t>PROSEWARE, INC. — КРАТКИЙ ОБЗОР</w:t>
      </w:r>
      <w:bookmarkEnd w:id="1"/>
    </w:p>
    <w:p w14:paraId="26D154D8" w14:textId="77777777" w:rsidR="00117B14" w:rsidRDefault="00942725">
      <w:r>
        <w:rPr>
          <w:lang w:val="ru-RU"/>
        </w:rPr>
        <w:t xml:space="preserve">Компания Proseware, расположенная в г. Зеленограде Московской обл. и имеющая филиалы более чем в 10 странах, предлагает решения в области ИТ и консультационные услуги ведущим мировым корпорациям. Мы занимаемся обслуживанием поставщиков специализированных материалов и услуг и помогаем им расширить охват глобального рынка. Большинство наших клиентов являются лидерами в своих сегментах либо, как компания Fabrikam, — быстро развивающимися пионерами в своих отраслях. </w:t>
      </w:r>
    </w:p>
    <w:p w14:paraId="26D154D9" w14:textId="77777777" w:rsidR="00117B14" w:rsidRDefault="00942725">
      <w:r>
        <w:rPr>
          <w:lang w:val="ru-RU"/>
        </w:rPr>
        <w:t>Наши специалисты по рынку обратили внимание на последние технологические достижения вашей компании в плане обеспечения долговечности продукции. Поскольку потребители требуют постоянного повышения качества, даже в условиях роста цен на сырье компания Fabrikam, по нашему мнению, сможет полностью занять сразу несколько ниш на рынке. Однако вашей самой серьезной проблемой на этом пути в настоящее время является способность быстро расширить свои производственные возможности и в то же время добиться максимального эффекта от уже имеющихся вложений в производственные ресурсы.</w:t>
      </w:r>
    </w:p>
    <w:p w14:paraId="26D154DA" w14:textId="77777777" w:rsidR="00117B14" w:rsidRDefault="00117B14">
      <w:pPr>
        <w:pStyle w:val="1"/>
        <w:sectPr w:rsidR="00117B1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26D154DB" w14:textId="77777777" w:rsidR="00117B14" w:rsidRDefault="00942725">
      <w:pPr>
        <w:pStyle w:val="1"/>
      </w:pPr>
      <w:bookmarkStart w:id="2" w:name="_Toc303323982"/>
      <w:r>
        <w:rPr>
          <w:lang w:val="ru-RU"/>
        </w:rPr>
        <w:lastRenderedPageBreak/>
        <w:t>КОММЕРЧЕСКОЕ ПРЕДЛОЖЕНИЕ компании FABRIKAM RECORDS</w:t>
      </w:r>
      <w:bookmarkEnd w:id="2"/>
    </w:p>
    <w:p w14:paraId="26D154DC" w14:textId="77777777" w:rsidR="00117B14" w:rsidRDefault="00942725">
      <w:pPr>
        <w:pStyle w:val="2"/>
      </w:pPr>
      <w:bookmarkStart w:id="3" w:name="_Toc303323983"/>
      <w:r>
        <w:rPr>
          <w:lang w:val="ru-RU"/>
        </w:rPr>
        <w:t>ТЕКУЩАЯ СИТУАЦИЯ</w:t>
      </w:r>
      <w:bookmarkEnd w:id="3"/>
    </w:p>
    <w:p w14:paraId="26D154DD" w14:textId="77777777" w:rsidR="00117B14" w:rsidRDefault="00942725">
      <w:r>
        <w:rPr>
          <w:lang w:val="ru-RU"/>
        </w:rPr>
        <w:t>Продукция Fabrikam сейчас широко востребована на рынке. Ваши производственные мощности в прошлом превышали запросы заказов, но со второго квартала этого года объемы заказов и производственные мощности почти сравнялись. Последние прогнозы предсказывают, что заказы превысят производственные мощности в течение ближайших двух кварталов.</w:t>
      </w:r>
    </w:p>
    <w:p w14:paraId="26D154DE" w14:textId="77777777" w:rsidR="00117B14" w:rsidRDefault="00942725">
      <w:pPr>
        <w:tabs>
          <w:tab w:val="center" w:pos="1035"/>
        </w:tabs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6D15527" wp14:editId="26D1552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511040" cy="3060700"/>
            <wp:effectExtent l="0" t="0" r="3810" b="6350"/>
            <wp:wrapSquare wrapText="bothSides"/>
            <wp:docPr id="8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>
        <w:tab/>
      </w:r>
      <w:r>
        <w:br w:type="textWrapping" w:clear="all"/>
      </w:r>
    </w:p>
    <w:p w14:paraId="26D154DF" w14:textId="77777777" w:rsidR="00117B14" w:rsidRDefault="00942725">
      <w:r>
        <w:rPr>
          <w:lang w:val="ru-RU"/>
        </w:rPr>
        <w:t>Рисунок 1. Спрос растет быстрее, чем производственные возможности</w:t>
      </w:r>
    </w:p>
    <w:p w14:paraId="26D154E0" w14:textId="77777777" w:rsidR="00117B14" w:rsidRDefault="00942725">
      <w:r>
        <w:rPr>
          <w:lang w:val="ru-RU"/>
        </w:rPr>
        <w:t>Проблемой для компании Fabrikam стало удовлетворение растущего спроса без лишних затрат на новую инфраструктуру, прежде чем на рынке появятся конкуренты с аналогичными продуктами. Иначе говоря, компания Fabrikam должна нарастить производственные мощности, сведя к минимуму расходы на их увеличение, чтобы обеспечить быстрый возврат инвестиций (ROI). В компании Proseware понимают проблемы, с которыми сталкиваются игроки на вашем рынке, и верят, что наши решения и опыт помогут вашей компании справиться с ними.</w:t>
      </w:r>
    </w:p>
    <w:p w14:paraId="26D154E1" w14:textId="77777777" w:rsidR="00117B14" w:rsidRDefault="00117B14"/>
    <w:p w14:paraId="26D154E2" w14:textId="77777777" w:rsidR="00117B14" w:rsidRDefault="00942725"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26D15529" wp14:editId="26D1552A">
            <wp:simplePos x="0" y="0"/>
            <wp:positionH relativeFrom="column">
              <wp:posOffset>175260</wp:posOffset>
            </wp:positionH>
            <wp:positionV relativeFrom="paragraph">
              <wp:posOffset>57785</wp:posOffset>
            </wp:positionV>
            <wp:extent cx="1788160" cy="1188720"/>
            <wp:effectExtent l="152400" t="152400" r="364490" b="392430"/>
            <wp:wrapSquare wrapText="bothSides"/>
            <wp:docPr id="2" name="Picture 11" descr="OFC09_Kelly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C09_Kelly_001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1188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scene3d>
                      <a:camera prst="perspectiveFront"/>
                      <a:lightRig rig="threePt" dir="t"/>
                    </a:scene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t>РЕШЕНИЕ</w:t>
      </w:r>
    </w:p>
    <w:p w14:paraId="26D154E3" w14:textId="77777777" w:rsidR="00117B14" w:rsidRDefault="00942725">
      <w:r>
        <w:rPr>
          <w:lang w:val="ru-RU"/>
        </w:rPr>
        <w:t xml:space="preserve">Наша линейка бизнес-решений Consolidated Messenger дополняет ваши бизнес-процессы, в том числе имеющуюся систему планирования ресурсов </w:t>
      </w:r>
      <w:r>
        <w:rPr>
          <w:lang w:val="ru-RU"/>
        </w:rPr>
        <w:lastRenderedPageBreak/>
        <w:t>предприятия (ERP), добавляя функции, разработанные специально для вашей отрасли. Мы можем настроить решение Consolidated Messenger для простой интеграции с ИТ-средой вашей компании.</w:t>
      </w:r>
    </w:p>
    <w:p w14:paraId="26D154E4" w14:textId="77777777" w:rsidR="00117B14" w:rsidRDefault="00117B14"/>
    <w:p w14:paraId="26D154E5" w14:textId="77777777" w:rsidR="00117B14" w:rsidRDefault="00942725">
      <w:pPr>
        <w:pStyle w:val="2"/>
      </w:pPr>
      <w:bookmarkStart w:id="4" w:name="_Toc303323984"/>
      <w:r>
        <w:rPr>
          <w:lang w:val="ru-RU"/>
        </w:rPr>
        <w:t>ЗАТРАТЫ</w:t>
      </w:r>
      <w:bookmarkEnd w:id="4"/>
    </w:p>
    <w:p w14:paraId="26D154E6" w14:textId="77777777" w:rsidR="00117B14" w:rsidRDefault="00942725">
      <w:r>
        <w:rPr>
          <w:lang w:val="ru-RU"/>
        </w:rPr>
        <w:t>Proseware в сотрудничестве с вашими ИТ-руководителями и проектировщиками точно определит, какие программные и аппаратные компоненты необходимы для эффективной реализации решения Consolidated Messenger. Исключая дополнительные компоненты для процессов, которые не используются в вашей организации, мы можем удерживать цену на низком уровне. Кроме того, наши тарифы на предоставление консультативных и других услуг на местах являются весьма конкурентоспособными.</w:t>
      </w:r>
    </w:p>
    <w:p w14:paraId="26D154E7" w14:textId="77777777" w:rsidR="00117B14" w:rsidRDefault="00942725">
      <w:r>
        <w:rPr>
          <w:lang w:val="ru-RU"/>
        </w:rPr>
        <w:t>В приведенной ниже таблице представлены сводные сведения по крупнейшей категории расходов — прямым затратам на оплату труда.</w:t>
      </w:r>
    </w:p>
    <w:tbl>
      <w:tblPr>
        <w:tblStyle w:val="-2"/>
        <w:tblW w:w="5000" w:type="pct"/>
        <w:jc w:val="right"/>
        <w:tblLook w:val="04A0" w:firstRow="1" w:lastRow="0" w:firstColumn="1" w:lastColumn="0" w:noHBand="0" w:noVBand="1"/>
      </w:tblPr>
      <w:tblGrid>
        <w:gridCol w:w="3558"/>
        <w:gridCol w:w="1155"/>
        <w:gridCol w:w="2965"/>
        <w:gridCol w:w="1898"/>
      </w:tblGrid>
      <w:tr w:rsidR="00EA55D9" w:rsidRPr="00EA55D9" w14:paraId="26D154EC" w14:textId="77777777" w:rsidTr="00053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E8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Прямые затраты на оплату труда</w:t>
            </w:r>
          </w:p>
        </w:tc>
        <w:tc>
          <w:tcPr>
            <w:tcW w:w="603" w:type="pct"/>
          </w:tcPr>
          <w:p w14:paraId="26D154E9" w14:textId="77777777" w:rsidR="00117B14" w:rsidRDefault="0094272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Часы</w:t>
            </w:r>
          </w:p>
        </w:tc>
        <w:tc>
          <w:tcPr>
            <w:tcW w:w="1548" w:type="pct"/>
          </w:tcPr>
          <w:p w14:paraId="26D154EA" w14:textId="77777777" w:rsidR="00117B14" w:rsidRDefault="0094272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Почасовая ставка</w:t>
            </w:r>
          </w:p>
        </w:tc>
        <w:tc>
          <w:tcPr>
            <w:tcW w:w="991" w:type="pct"/>
          </w:tcPr>
          <w:p w14:paraId="26D154EB" w14:textId="77777777" w:rsidR="00117B14" w:rsidRDefault="00942725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Общая сумма затрат</w:t>
            </w:r>
          </w:p>
        </w:tc>
      </w:tr>
      <w:tr w:rsidR="00EA55D9" w:rsidRPr="00EA55D9" w14:paraId="26D154F1" w14:textId="77777777" w:rsidTr="00053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ED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Инженер-технолог</w:t>
            </w:r>
          </w:p>
        </w:tc>
        <w:tc>
          <w:tcPr>
            <w:tcW w:w="603" w:type="pct"/>
          </w:tcPr>
          <w:p w14:paraId="26D154EE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200</w:t>
            </w:r>
          </w:p>
        </w:tc>
        <w:tc>
          <w:tcPr>
            <w:tcW w:w="1548" w:type="pct"/>
          </w:tcPr>
          <w:p w14:paraId="26D154EF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125,00 р.</w:t>
            </w:r>
          </w:p>
        </w:tc>
        <w:tc>
          <w:tcPr>
            <w:tcW w:w="991" w:type="pct"/>
          </w:tcPr>
          <w:p w14:paraId="26D154F0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25 000,00 р.</w:t>
            </w:r>
          </w:p>
        </w:tc>
      </w:tr>
      <w:tr w:rsidR="00EA55D9" w:rsidRPr="00EA55D9" w14:paraId="26D154F6" w14:textId="77777777" w:rsidTr="00053842">
        <w:trPr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F2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Разработчик компьютерных программ</w:t>
            </w:r>
          </w:p>
        </w:tc>
        <w:tc>
          <w:tcPr>
            <w:tcW w:w="603" w:type="pct"/>
          </w:tcPr>
          <w:p w14:paraId="26D154F3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225</w:t>
            </w:r>
          </w:p>
        </w:tc>
        <w:tc>
          <w:tcPr>
            <w:tcW w:w="1548" w:type="pct"/>
          </w:tcPr>
          <w:p w14:paraId="26D154F4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125,00 р.</w:t>
            </w:r>
          </w:p>
        </w:tc>
        <w:tc>
          <w:tcPr>
            <w:tcW w:w="991" w:type="pct"/>
          </w:tcPr>
          <w:p w14:paraId="26D154F5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28 125,00 р.</w:t>
            </w:r>
          </w:p>
        </w:tc>
      </w:tr>
      <w:tr w:rsidR="00EA55D9" w:rsidRPr="00EA55D9" w14:paraId="26D154FB" w14:textId="77777777" w:rsidTr="00053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F7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ИТ-консультант</w:t>
            </w:r>
          </w:p>
        </w:tc>
        <w:tc>
          <w:tcPr>
            <w:tcW w:w="603" w:type="pct"/>
          </w:tcPr>
          <w:p w14:paraId="26D154F8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40</w:t>
            </w:r>
          </w:p>
        </w:tc>
        <w:tc>
          <w:tcPr>
            <w:tcW w:w="1548" w:type="pct"/>
          </w:tcPr>
          <w:p w14:paraId="26D154F9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100,00 р.</w:t>
            </w:r>
          </w:p>
        </w:tc>
        <w:tc>
          <w:tcPr>
            <w:tcW w:w="991" w:type="pct"/>
          </w:tcPr>
          <w:p w14:paraId="26D154FA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4 000,00 р.</w:t>
            </w:r>
          </w:p>
        </w:tc>
      </w:tr>
      <w:tr w:rsidR="00EA55D9" w:rsidRPr="00EA55D9" w14:paraId="26D15500" w14:textId="77777777" w:rsidTr="00053842">
        <w:trPr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4FC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Специалист по интеграции</w:t>
            </w:r>
          </w:p>
        </w:tc>
        <w:tc>
          <w:tcPr>
            <w:tcW w:w="603" w:type="pct"/>
          </w:tcPr>
          <w:p w14:paraId="26D154FD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280</w:t>
            </w:r>
          </w:p>
        </w:tc>
        <w:tc>
          <w:tcPr>
            <w:tcW w:w="1548" w:type="pct"/>
          </w:tcPr>
          <w:p w14:paraId="26D154FE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75,00 р.</w:t>
            </w:r>
          </w:p>
        </w:tc>
        <w:tc>
          <w:tcPr>
            <w:tcW w:w="991" w:type="pct"/>
          </w:tcPr>
          <w:p w14:paraId="26D154FF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ru-RU"/>
              </w:rPr>
              <w:t>21 000,00 р.</w:t>
            </w:r>
          </w:p>
        </w:tc>
      </w:tr>
      <w:tr w:rsidR="00EA55D9" w:rsidRPr="00EA55D9" w14:paraId="26D15505" w14:textId="77777777" w:rsidTr="00053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501" w14:textId="77777777" w:rsidR="00117B14" w:rsidRDefault="00942725">
            <w:pPr>
              <w:spacing w:after="200" w:line="276" w:lineRule="auto"/>
            </w:pPr>
            <w:r>
              <w:rPr>
                <w:lang w:val="ru-RU"/>
              </w:rPr>
              <w:t>Техник по аппаратным средствам</w:t>
            </w:r>
          </w:p>
        </w:tc>
        <w:tc>
          <w:tcPr>
            <w:tcW w:w="603" w:type="pct"/>
          </w:tcPr>
          <w:p w14:paraId="26D15502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280</w:t>
            </w:r>
          </w:p>
        </w:tc>
        <w:tc>
          <w:tcPr>
            <w:tcW w:w="1548" w:type="pct"/>
          </w:tcPr>
          <w:p w14:paraId="26D15503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65,00 р.</w:t>
            </w:r>
          </w:p>
        </w:tc>
        <w:tc>
          <w:tcPr>
            <w:tcW w:w="991" w:type="pct"/>
          </w:tcPr>
          <w:p w14:paraId="26D15504" w14:textId="77777777" w:rsidR="00117B14" w:rsidRDefault="00942725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ru-RU"/>
              </w:rPr>
              <w:t>18 200,00 р.</w:t>
            </w:r>
          </w:p>
        </w:tc>
      </w:tr>
      <w:tr w:rsidR="00EA55D9" w:rsidRPr="00EA55D9" w14:paraId="26D1550A" w14:textId="77777777" w:rsidTr="00053842">
        <w:trPr>
          <w:cantSplit/>
          <w:trHeight w:val="432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8" w:type="pct"/>
          </w:tcPr>
          <w:p w14:paraId="26D15506" w14:textId="77777777" w:rsidR="00117B14" w:rsidRDefault="00117B14">
            <w:pPr>
              <w:spacing w:after="200" w:line="276" w:lineRule="auto"/>
            </w:pPr>
          </w:p>
        </w:tc>
        <w:tc>
          <w:tcPr>
            <w:tcW w:w="603" w:type="pct"/>
          </w:tcPr>
          <w:p w14:paraId="26D15507" w14:textId="77777777" w:rsidR="00117B14" w:rsidRDefault="00117B14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8" w:type="pct"/>
          </w:tcPr>
          <w:p w14:paraId="26D15508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lang w:val="ru-RU"/>
              </w:rPr>
              <w:t>Общие затраты на оплату труда:</w:t>
            </w:r>
          </w:p>
        </w:tc>
        <w:tc>
          <w:tcPr>
            <w:tcW w:w="991" w:type="pct"/>
          </w:tcPr>
          <w:p w14:paraId="26D15509" w14:textId="77777777" w:rsidR="00117B14" w:rsidRDefault="00942725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lang w:val="ru-RU"/>
              </w:rPr>
              <w:t>96 200,00 р.</w:t>
            </w:r>
          </w:p>
        </w:tc>
      </w:tr>
    </w:tbl>
    <w:p w14:paraId="26D1550B" w14:textId="77777777" w:rsidR="00117B14" w:rsidRDefault="00117B14"/>
    <w:p w14:paraId="26D1550C" w14:textId="77777777" w:rsidR="00117B14" w:rsidRDefault="00942725">
      <w:r>
        <w:rPr>
          <w:lang w:val="ru-RU"/>
        </w:rPr>
        <w:t>Прилагаемая таблица Microsoft Office Excel содержит подробную разбивку ожидаемых затрат в рамках данного предлагаемого проекта, в том числе:</w:t>
      </w:r>
    </w:p>
    <w:p w14:paraId="26D1550D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часы и ставки ресурсов;</w:t>
      </w:r>
    </w:p>
    <w:p w14:paraId="26D1550E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затраты на оборудование, программное обеспечение и другие материальные затраты;</w:t>
      </w:r>
    </w:p>
    <w:p w14:paraId="26D1550F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оплата услуг субподрядчика;</w:t>
      </w:r>
    </w:p>
    <w:p w14:paraId="26D15510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транспорт;</w:t>
      </w:r>
    </w:p>
    <w:p w14:paraId="26D15511" w14:textId="77777777" w:rsidR="00117B14" w:rsidRDefault="00942725">
      <w:pPr>
        <w:pStyle w:val="a5"/>
        <w:numPr>
          <w:ilvl w:val="0"/>
          <w:numId w:val="5"/>
        </w:numPr>
        <w:jc w:val="both"/>
      </w:pPr>
      <w:r>
        <w:rPr>
          <w:lang w:val="ru-RU"/>
        </w:rPr>
        <w:t>возмещаемые сборы, налоги и прочие расходы.</w:t>
      </w:r>
    </w:p>
    <w:p w14:paraId="26D15512" w14:textId="77777777" w:rsidR="00117B14" w:rsidRDefault="00942725">
      <w:pPr>
        <w:pStyle w:val="2"/>
      </w:pPr>
      <w:bookmarkStart w:id="5" w:name="_Toc303323985"/>
      <w:r>
        <w:rPr>
          <w:lang w:val="ru-RU"/>
        </w:rPr>
        <w:lastRenderedPageBreak/>
        <w:t>ПЛАН РЕАЛИЗАЦИИ</w:t>
      </w:r>
      <w:bookmarkEnd w:id="5"/>
    </w:p>
    <w:p w14:paraId="26D15513" w14:textId="77777777" w:rsidR="00117B14" w:rsidRDefault="00942725">
      <w:r>
        <w:rPr>
          <w:lang w:val="ru-RU"/>
        </w:rPr>
        <w:t>Proseware в тесном сотрудничестве с компанией Fabrikam обеспечит развертывание решения без перевода критически важных производственных систем в автономный режим. Мы имеем большой опыт разработки тестовых систем, включая создание моделей и виртуальных серверов в рамках любого пилотного проекта, а также перевода экспериментальных проектов в предпроизводственную и производственную фазу.</w:t>
      </w:r>
    </w:p>
    <w:p w14:paraId="26D15514" w14:textId="77777777" w:rsidR="00117B14" w:rsidRDefault="00942725">
      <w:r>
        <w:rPr>
          <w:lang w:val="ru-RU"/>
        </w:rPr>
        <w:t>В этом документе представлена реализация этапа планирования в рамках предложения, который включает в себя первоначальное исследование, планирование предложения, разработку предложения, нашу внутреннюю проверку системы управления и сдачу результатов. В этом документе представлена реализация этапа планирования в рамках предложения, который включает в себя первоначальное исследование, планирование предложения, разработку предложения, нашу внутреннюю проверку системы управления и сдачу результатов.</w:t>
      </w:r>
    </w:p>
    <w:p w14:paraId="26D15515" w14:textId="77777777" w:rsidR="00117B14" w:rsidRDefault="00942725">
      <w:r>
        <w:rPr>
          <w:lang w:val="ru-RU"/>
        </w:rPr>
        <w:t>Если вы примете наше предложение до 15 ноября, мы сможем начать работу над проектом с 1 декабря и настроим тестовые серверы и тестовую производственную линию за 5 дней. Общее время развертывания составит от 6 до 9 месяцев с 3-месячным запасом на случай критических ситуаций. Более полное расписание предоставляется как отдельный документ.</w:t>
      </w:r>
    </w:p>
    <w:p w14:paraId="26D15516" w14:textId="77777777" w:rsidR="00117B14" w:rsidRDefault="00942725">
      <w:r>
        <w:rPr>
          <w:noProof/>
          <w:lang w:val="ru-RU" w:eastAsia="ru-RU"/>
        </w:rPr>
        <w:drawing>
          <wp:inline distT="0" distB="0" distL="0" distR="0" wp14:anchorId="26D1552B" wp14:editId="26D1552C">
            <wp:extent cx="4561576" cy="1076505"/>
            <wp:effectExtent l="57150" t="38100" r="86995" b="66675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26D15517" w14:textId="77777777" w:rsidR="00117B14" w:rsidRDefault="00942725">
      <w:r>
        <w:rPr>
          <w:lang w:val="ru-RU"/>
        </w:rPr>
        <w:t>Рисунок 3. План графика сдачи результатов</w:t>
      </w:r>
    </w:p>
    <w:p w14:paraId="26D15518" w14:textId="77777777" w:rsidR="00117B14" w:rsidRDefault="00942725">
      <w:pPr>
        <w:pStyle w:val="2"/>
      </w:pPr>
      <w:bookmarkStart w:id="6" w:name="_Toc303323986"/>
      <w:r>
        <w:rPr>
          <w:lang w:val="ru-RU"/>
        </w:rPr>
        <w:t>ПРЕИМУЩЕСТВА</w:t>
      </w:r>
      <w:bookmarkEnd w:id="6"/>
    </w:p>
    <w:p w14:paraId="26D15519" w14:textId="77777777" w:rsidR="00117B14" w:rsidRDefault="00942725">
      <w:r>
        <w:rPr>
          <w:lang w:val="ru-RU"/>
        </w:rPr>
        <w:t>Интеграция решения Consolidated Messenger с существующими процессами позволит компании оптимизировать производство, свести к минимуму расходы на инвентаризацию, настроить сложные продукты и повысить эффективность управления персоналом и материалами, а также обработки данных. Решение Consolidated Messenger обеспечивает достижение этих целей, связывая ключевые функции вертикального рынка с существующими процессами ERP.</w:t>
      </w:r>
    </w:p>
    <w:p w14:paraId="26D1551A" w14:textId="77777777" w:rsidR="00117B14" w:rsidRDefault="00942725">
      <w:r>
        <w:rPr>
          <w:lang w:val="ru-RU"/>
        </w:rPr>
        <w:t>Например, можно сократить время вывода новых продуктов и обновлений на рынок за счет интеграции инженерных спецификаций с внутренними приложениями. А интегрированная ИТ-система поможет определить имеющиеся компоненты и узлы, которые можно использовать при разработке новых продуктов.</w:t>
      </w:r>
    </w:p>
    <w:p w14:paraId="26D1551B" w14:textId="77777777" w:rsidR="00117B14" w:rsidRDefault="00942725">
      <w:r>
        <w:rPr>
          <w:lang w:val="ru-RU"/>
        </w:rPr>
        <w:t>Что компания Fabrikam может ожидать от внедрения решения Consolidated Messenger:</w:t>
      </w:r>
    </w:p>
    <w:p w14:paraId="26D1551C" w14:textId="77777777" w:rsidR="00117B14" w:rsidRDefault="00942725">
      <w:pPr>
        <w:numPr>
          <w:ilvl w:val="0"/>
          <w:numId w:val="2"/>
        </w:numPr>
      </w:pPr>
      <w:r>
        <w:rPr>
          <w:lang w:val="ru-RU"/>
        </w:rPr>
        <w:t>увеличение производственной мощности почти на 50 процентов с текущих 47 000 единиц за квартал до 70 000;</w:t>
      </w:r>
    </w:p>
    <w:p w14:paraId="26D1551D" w14:textId="77777777" w:rsidR="00117B14" w:rsidRDefault="00942725">
      <w:pPr>
        <w:numPr>
          <w:ilvl w:val="0"/>
          <w:numId w:val="2"/>
        </w:numPr>
      </w:pPr>
      <w:r>
        <w:rPr>
          <w:lang w:val="ru-RU"/>
        </w:rPr>
        <w:lastRenderedPageBreak/>
        <w:t>рост общей стоимости производства только на 20 процентов, главным образом за счет увеличения потребления сырья при достижении максимального уровня производства;</w:t>
      </w:r>
    </w:p>
    <w:p w14:paraId="26D1551E" w14:textId="77777777" w:rsidR="00117B14" w:rsidRDefault="00942725">
      <w:pPr>
        <w:numPr>
          <w:ilvl w:val="0"/>
          <w:numId w:val="2"/>
        </w:numPr>
      </w:pPr>
      <w:r>
        <w:rPr>
          <w:lang w:val="ru-RU"/>
        </w:rPr>
        <w:t>снижение удельных затрат на производство на 15 процентов за счет повышения эффективности производственных процессов, оптовых скидок на сырье и экономии благодаря росту масштаба производства.</w:t>
      </w:r>
    </w:p>
    <w:p w14:paraId="26D1551F" w14:textId="77777777" w:rsidR="00117B14" w:rsidRDefault="00942725">
      <w:pPr>
        <w:pStyle w:val="2"/>
      </w:pPr>
      <w:bookmarkStart w:id="7" w:name="_Toc303323987"/>
      <w:r>
        <w:rPr>
          <w:lang w:val="ru-RU"/>
        </w:rPr>
        <w:t>ЗАКЛЮЧЕНИЕ</w:t>
      </w:r>
      <w:bookmarkEnd w:id="7"/>
    </w:p>
    <w:p w14:paraId="26D15520" w14:textId="77777777" w:rsidR="00117B14" w:rsidRDefault="00942725">
      <w:r>
        <w:rPr>
          <w:lang w:val="ru-RU"/>
        </w:rPr>
        <w:t>Высокие темпы развития и глобальное распространение высокотехнологичной промышленности требуют постоянного внедрения новых технологий, скорости и гибкости. Производители высокотехнологичной продукции сталкиваются с серьезными проблемами, такими как сокращение жизненного цикла продуктов, непредсказуемый спрос и снижение цен из-за ожесточенной конкуренции во всем мире.</w:t>
      </w:r>
    </w:p>
    <w:p w14:paraId="26D15521" w14:textId="77777777" w:rsidR="00117B14" w:rsidRDefault="00942725">
      <w:r>
        <w:rPr>
          <w:lang w:val="ru-RU"/>
        </w:rPr>
        <w:t>Компания Fabrikam решила эти проблемы, развернув современную ERP-систему. Однако наше решение Consolidated Messenger может способствовать дальнейшему повышению эффективности этой системы для оптимизации цепочки поставок, обеспечивает полное взаимодействие с клиентами, партнерами и поставщиками в режиме реального времени и поддерживает более гибкие процессы. Благодаря этому оно облегчает создание надежной гибкой ИТ-инфраструктуры, помогая упростить внедрение новых технологий и сократить время выхода на рынок.</w:t>
      </w:r>
    </w:p>
    <w:p w14:paraId="26D15522" w14:textId="77777777" w:rsidR="00117B14" w:rsidRDefault="00942725">
      <w:r>
        <w:rPr>
          <w:lang w:val="ru-RU"/>
        </w:rPr>
        <w:t>При рассмотрении нашего предложения мы просим вас принять во внимание то, что отличает нас от других консультантов.</w:t>
      </w:r>
    </w:p>
    <w:p w14:paraId="26D15523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 xml:space="preserve">Благодаря богатому опыту консультирования и внедрения решений на ваших рынках компания Proseware обладает уникальной возможностью помочь компании Fabrikam расширить свой потенциал и воспользоваться преимуществами решения Consolidated Messenger. </w:t>
      </w:r>
    </w:p>
    <w:p w14:paraId="26D15524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>Мы понимаем ваши проблемы и рынки и обладаем надежным опытом оказания помощи поставщикам специализированных материалов и услуг в расширении их доли рынка.</w:t>
      </w:r>
    </w:p>
    <w:p w14:paraId="26D15525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>Мы официально сертифицированы по стандартам ISO 9000, ISO 9001 и "Шесть сигм" и являемся партнером корпорации Майкрософт со статусом Gold Certified Partner.</w:t>
      </w:r>
    </w:p>
    <w:p w14:paraId="26D15526" w14:textId="77777777" w:rsidR="00117B14" w:rsidRDefault="00942725">
      <w:pPr>
        <w:numPr>
          <w:ilvl w:val="0"/>
          <w:numId w:val="3"/>
        </w:numPr>
      </w:pPr>
      <w:r>
        <w:rPr>
          <w:lang w:val="ru-RU"/>
        </w:rPr>
        <w:t>Мы с нетерпением ждем сотрудничества с компанией Fabrikam в рамках этого проекта, чтобы объединить наши знания и опыт и использовать их для дальнейшего расширения вашей доли рынка.</w:t>
      </w:r>
    </w:p>
    <w:sectPr w:rsidR="00117B14">
      <w:headerReference w:type="default" r:id="rId23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31120" w14:textId="77777777" w:rsidR="0001717D" w:rsidRDefault="0001717D" w:rsidP="00574145">
      <w:pPr>
        <w:spacing w:after="0" w:line="240" w:lineRule="auto"/>
      </w:pPr>
      <w:r>
        <w:separator/>
      </w:r>
    </w:p>
  </w:endnote>
  <w:endnote w:type="continuationSeparator" w:id="0">
    <w:p w14:paraId="7F9ADC18" w14:textId="77777777" w:rsidR="0001717D" w:rsidRDefault="0001717D" w:rsidP="00574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3" w14:textId="77777777" w:rsidR="0058074F" w:rsidRDefault="003542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4" w14:textId="77777777" w:rsidR="003A23D0" w:rsidRPr="0058074F" w:rsidRDefault="00354263" w:rsidP="0058074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6" w14:textId="77777777" w:rsidR="0058074F" w:rsidRDefault="003542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33CBD" w14:textId="77777777" w:rsidR="0001717D" w:rsidRDefault="0001717D" w:rsidP="00574145">
      <w:pPr>
        <w:spacing w:after="0" w:line="240" w:lineRule="auto"/>
      </w:pPr>
      <w:r>
        <w:separator/>
      </w:r>
    </w:p>
  </w:footnote>
  <w:footnote w:type="continuationSeparator" w:id="0">
    <w:p w14:paraId="342B9894" w14:textId="77777777" w:rsidR="0001717D" w:rsidRDefault="0001717D" w:rsidP="00574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1" w14:textId="77777777" w:rsidR="0058074F" w:rsidRDefault="003542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2" w14:textId="77777777" w:rsidR="0058074F" w:rsidRDefault="0035426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5" w14:textId="77777777" w:rsidR="0058074F" w:rsidRDefault="00354263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5537" w14:textId="77777777" w:rsidR="003A23D0" w:rsidRPr="0058074F" w:rsidRDefault="00354263" w:rsidP="005807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7C04"/>
    <w:multiLevelType w:val="hybridMultilevel"/>
    <w:tmpl w:val="F238F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670FB"/>
    <w:multiLevelType w:val="hybridMultilevel"/>
    <w:tmpl w:val="518499B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F6764C"/>
    <w:multiLevelType w:val="hybridMultilevel"/>
    <w:tmpl w:val="17E407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609D1"/>
    <w:multiLevelType w:val="hybridMultilevel"/>
    <w:tmpl w:val="767045C6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026364F"/>
    <w:multiLevelType w:val="hybridMultilevel"/>
    <w:tmpl w:val="52724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C69BD"/>
    <w:multiLevelType w:val="hybridMultilevel"/>
    <w:tmpl w:val="64E03C2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14"/>
    <w:rsid w:val="0001717D"/>
    <w:rsid w:val="00117B14"/>
    <w:rsid w:val="00354263"/>
    <w:rsid w:val="006F0564"/>
    <w:rsid w:val="00877EAE"/>
    <w:rsid w:val="00942725"/>
    <w:rsid w:val="00C11B52"/>
    <w:rsid w:val="00F43E80"/>
    <w:rsid w:val="00FF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D15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pPr>
      <w:spacing w:after="0" w:line="240" w:lineRule="auto"/>
    </w:pPr>
    <w:rPr>
      <w:color w:val="679B9A" w:themeColor="accent2" w:themeShade="BF"/>
    </w:rPr>
    <w:tblPr>
      <w:tblStyleRowBandSize w:val="1"/>
      <w:tblStyleColBandSize w:val="1"/>
      <w:tblInd w:w="0" w:type="dxa"/>
      <w:tblBorders>
        <w:top w:val="single" w:sz="8" w:space="0" w:color="9CBEBD" w:themeColor="accent2"/>
        <w:bottom w:val="single" w:sz="8" w:space="0" w:color="9CBEB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aa">
    <w:name w:val="No Spacing"/>
    <w:link w:val="ab"/>
    <w:uiPriority w:val="1"/>
    <w:qFormat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Pr>
      <w:rFonts w:eastAsiaTheme="minorEastAsia"/>
    </w:rPr>
  </w:style>
  <w:style w:type="paragraph" w:styleId="a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pPr>
      <w:spacing w:after="100"/>
      <w:ind w:left="220"/>
    </w:pPr>
  </w:style>
  <w:style w:type="character" w:styleId="ad">
    <w:name w:val="Hyperlink"/>
    <w:basedOn w:val="a0"/>
    <w:uiPriority w:val="99"/>
    <w:unhideWhenUsed/>
    <w:rPr>
      <w:color w:val="D25814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</w:style>
  <w:style w:type="character" w:styleId="ae">
    <w:name w:val="Placeholder Text"/>
    <w:basedOn w:val="a0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pPr>
      <w:spacing w:after="0" w:line="240" w:lineRule="auto"/>
    </w:pPr>
    <w:rPr>
      <w:color w:val="679B9A" w:themeColor="accent2" w:themeShade="BF"/>
    </w:rPr>
    <w:tblPr>
      <w:tblStyleRowBandSize w:val="1"/>
      <w:tblStyleColBandSize w:val="1"/>
      <w:tblInd w:w="0" w:type="dxa"/>
      <w:tblBorders>
        <w:top w:val="single" w:sz="8" w:space="0" w:color="9CBEBD" w:themeColor="accent2"/>
        <w:bottom w:val="single" w:sz="8" w:space="0" w:color="9CBEB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BEBD" w:themeColor="accent2"/>
          <w:left w:val="nil"/>
          <w:bottom w:val="single" w:sz="8" w:space="0" w:color="9CBEB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FEE" w:themeFill="accent2" w:themeFillTint="3F"/>
      </w:tcPr>
    </w:tblStyle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A9A57C" w:themeColor="accent1"/>
      <w:sz w:val="26"/>
      <w:szCs w:val="26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aa">
    <w:name w:val="No Spacing"/>
    <w:link w:val="ab"/>
    <w:uiPriority w:val="1"/>
    <w:qFormat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Pr>
      <w:rFonts w:eastAsiaTheme="minorEastAsia"/>
    </w:rPr>
  </w:style>
  <w:style w:type="paragraph" w:styleId="ac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pPr>
      <w:spacing w:after="100"/>
      <w:ind w:left="220"/>
    </w:pPr>
  </w:style>
  <w:style w:type="character" w:styleId="ad">
    <w:name w:val="Hyperlink"/>
    <w:basedOn w:val="a0"/>
    <w:uiPriority w:val="99"/>
    <w:unhideWhenUsed/>
    <w:rPr>
      <w:color w:val="D25814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</w:style>
  <w:style w:type="character" w:styleId="ae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diagramData" Target="diagrams/data1.xml"/><Relationship Id="rId3" Type="http://schemas.openxmlformats.org/officeDocument/2006/relationships/numbering" Target="numbering.xml"/><Relationship Id="rId21" Type="http://schemas.openxmlformats.org/officeDocument/2006/relationships/diagramColors" Target="diagrams/colors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1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hart" Target="charts/chart1.xml"/><Relationship Id="rId20" Type="http://schemas.openxmlformats.org/officeDocument/2006/relationships/diagramQuickStyle" Target="diagrams/quickStyl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diagramLayout" Target="diagrams/layout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000" b="0"/>
            </a:pPr>
            <a:r>
              <a:rPr lang="ru-RU" sz="1000" b="0">
                <a:solidFill>
                  <a:schemeClr val="tx1">
                    <a:lumMod val="50000"/>
                    <a:lumOff val="50000"/>
                  </a:schemeClr>
                </a:solidFill>
                <a:latin typeface="+mj-lt"/>
              </a:rPr>
              <a:t>Производственные возможности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Заказы</c:v>
                </c:pt>
              </c:strCache>
            </c:strRef>
          </c:tx>
          <c:invertIfNegative val="0"/>
          <c:dPt>
            <c:idx val="6"/>
            <c:invertIfNegative val="0"/>
            <c:bubble3D val="0"/>
            <c:spPr>
              <a:solidFill>
                <a:srgbClr val="000000">
                  <a:alpha val="45098"/>
                </a:srgbClr>
              </a:solidFill>
            </c:spPr>
          </c:dPt>
          <c:dPt>
            <c:idx val="7"/>
            <c:invertIfNegative val="0"/>
            <c:bubble3D val="0"/>
            <c:spPr>
              <a:solidFill>
                <a:srgbClr val="000000">
                  <a:alpha val="45098"/>
                </a:srgbClr>
              </a:solidFill>
            </c:spPr>
          </c:dPt>
          <c:cat>
            <c:strRef>
              <c:f>Лист1!$A$2:$A$9</c:f>
              <c:strCache>
                <c:ptCount val="8"/>
                <c:pt idx="0">
                  <c:v>К1 Г1</c:v>
                </c:pt>
                <c:pt idx="1">
                  <c:v>К2 Г1</c:v>
                </c:pt>
                <c:pt idx="2">
                  <c:v>К3 Г1</c:v>
                </c:pt>
                <c:pt idx="3">
                  <c:v>К4 Г1</c:v>
                </c:pt>
                <c:pt idx="4">
                  <c:v>К1 Г2</c:v>
                </c:pt>
                <c:pt idx="5">
                  <c:v>К2 Г2</c:v>
                </c:pt>
                <c:pt idx="6">
                  <c:v>К3 Г2*</c:v>
                </c:pt>
                <c:pt idx="7">
                  <c:v>К4 Г2*</c:v>
                </c:pt>
              </c:strCache>
            </c:strRef>
          </c:cat>
          <c:val>
            <c:numRef>
              <c:f>Лист1!$B$2:$B$9</c:f>
              <c:numCache>
                <c:formatCode>#\ ##0</c:formatCode>
                <c:ptCount val="8"/>
                <c:pt idx="0">
                  <c:v>1500</c:v>
                </c:pt>
                <c:pt idx="1">
                  <c:v>1845</c:v>
                </c:pt>
                <c:pt idx="2">
                  <c:v>2269</c:v>
                </c:pt>
                <c:pt idx="3">
                  <c:v>2791</c:v>
                </c:pt>
                <c:pt idx="4">
                  <c:v>3433</c:v>
                </c:pt>
                <c:pt idx="5">
                  <c:v>4223</c:v>
                </c:pt>
                <c:pt idx="6">
                  <c:v>5194</c:v>
                </c:pt>
                <c:pt idx="7">
                  <c:v>6389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Произв. мощности</c:v>
                </c:pt>
              </c:strCache>
            </c:strRef>
          </c:tx>
          <c:invertIfNegative val="0"/>
          <c:cat>
            <c:strRef>
              <c:f>Лист1!$A$2:$A$9</c:f>
              <c:strCache>
                <c:ptCount val="8"/>
                <c:pt idx="0">
                  <c:v>К1 Г1</c:v>
                </c:pt>
                <c:pt idx="1">
                  <c:v>К2 Г1</c:v>
                </c:pt>
                <c:pt idx="2">
                  <c:v>К3 Г1</c:v>
                </c:pt>
                <c:pt idx="3">
                  <c:v>К4 Г1</c:v>
                </c:pt>
                <c:pt idx="4">
                  <c:v>К1 Г2</c:v>
                </c:pt>
                <c:pt idx="5">
                  <c:v>К2 Г2</c:v>
                </c:pt>
                <c:pt idx="6">
                  <c:v>К3 Г2*</c:v>
                </c:pt>
                <c:pt idx="7">
                  <c:v>К4 Г2*</c:v>
                </c:pt>
              </c:strCache>
            </c:strRef>
          </c:cat>
          <c:val>
            <c:numRef>
              <c:f>Лист1!$C$2:$C$9</c:f>
              <c:numCache>
                <c:formatCode>#\ ##0</c:formatCode>
                <c:ptCount val="8"/>
                <c:pt idx="0">
                  <c:v>2300</c:v>
                </c:pt>
                <c:pt idx="1">
                  <c:v>2576</c:v>
                </c:pt>
                <c:pt idx="2">
                  <c:v>2885</c:v>
                </c:pt>
                <c:pt idx="3">
                  <c:v>3231</c:v>
                </c:pt>
                <c:pt idx="4">
                  <c:v>3619</c:v>
                </c:pt>
                <c:pt idx="5">
                  <c:v>4053</c:v>
                </c:pt>
                <c:pt idx="6">
                  <c:v>4540</c:v>
                </c:pt>
                <c:pt idx="7">
                  <c:v>5085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1862912"/>
        <c:axId val="91864448"/>
        <c:axId val="58120384"/>
      </c:bar3DChart>
      <c:catAx>
        <c:axId val="91862912"/>
        <c:scaling>
          <c:orientation val="minMax"/>
        </c:scaling>
        <c:delete val="0"/>
        <c:axPos val="b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chemeClr val="tx1">
                    <a:lumMod val="50000"/>
                    <a:lumOff val="50000"/>
                  </a:schemeClr>
                </a:solidFill>
              </a:defRPr>
            </a:pPr>
            <a:endParaRPr lang="ru-RU"/>
          </a:p>
        </c:txPr>
        <c:crossAx val="91864448"/>
        <c:crosses val="autoZero"/>
        <c:auto val="1"/>
        <c:lblAlgn val="ctr"/>
        <c:lblOffset val="100"/>
        <c:noMultiLvlLbl val="0"/>
      </c:catAx>
      <c:valAx>
        <c:axId val="91864448"/>
        <c:scaling>
          <c:orientation val="minMax"/>
          <c:max val="6000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 b="0"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r>
                  <a:rPr lang="ru-RU" b="0">
                    <a:solidFill>
                      <a:schemeClr val="tx1">
                        <a:lumMod val="50000"/>
                        <a:lumOff val="50000"/>
                      </a:schemeClr>
                    </a:solidFill>
                  </a:rPr>
                  <a:t>Производственные подразделения</a:t>
                </a:r>
              </a:p>
            </c:rich>
          </c:tx>
          <c:overlay val="0"/>
        </c:title>
        <c:numFmt formatCode="#\ ##0" sourceLinked="1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chemeClr val="tx1">
                    <a:lumMod val="50000"/>
                    <a:lumOff val="50000"/>
                  </a:schemeClr>
                </a:solidFill>
              </a:defRPr>
            </a:pPr>
            <a:endParaRPr lang="ru-RU"/>
          </a:p>
        </c:txPr>
        <c:crossAx val="91862912"/>
        <c:crosses val="autoZero"/>
        <c:crossBetween val="between"/>
      </c:valAx>
      <c:serAx>
        <c:axId val="58120384"/>
        <c:scaling>
          <c:orientation val="minMax"/>
        </c:scaling>
        <c:delete val="1"/>
        <c:axPos val="b"/>
        <c:majorTickMark val="out"/>
        <c:minorTickMark val="none"/>
        <c:tickLblPos val="none"/>
        <c:crossAx val="91864448"/>
        <c:crosses val="autoZero"/>
      </c:serAx>
    </c:plotArea>
    <c:legend>
      <c:legendPos val="r"/>
      <c:overlay val="0"/>
      <c:txPr>
        <a:bodyPr/>
        <a:lstStyle/>
        <a:p>
          <a:pPr>
            <a:defRPr>
              <a:solidFill>
                <a:schemeClr val="tx1">
                  <a:lumMod val="50000"/>
                  <a:lumOff val="50000"/>
                </a:schemeClr>
              </a:solidFill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5DEAA1-95CB-46AF-92C6-F1CFE406E930}" type="doc">
      <dgm:prSet loTypeId="urn:microsoft.com/office/officeart/2005/8/layout/hProcess6" loCatId="process" qsTypeId="urn:microsoft.com/office/officeart/2005/8/quickstyle/simple5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1E9190D0-3CD5-47F7-9663-857AFD1EEF38}">
      <dgm:prSet phldrT="[Текст]"/>
      <dgm:spPr/>
      <dgm:t>
        <a:bodyPr/>
        <a:lstStyle/>
        <a:p>
          <a:r>
            <a:rPr lang="en-US"/>
            <a:t>Утверждение</a:t>
          </a:r>
        </a:p>
      </dgm:t>
    </dgm:pt>
    <dgm:pt modelId="{DE87305A-754C-4BF8-9398-C046CEA89CF0}" type="parTrans" cxnId="{0ADC8C2E-8BD7-49A7-9EE5-3695274743B2}">
      <dgm:prSet/>
      <dgm:spPr/>
      <dgm:t>
        <a:bodyPr/>
        <a:lstStyle/>
        <a:p>
          <a:endParaRPr lang="en-US"/>
        </a:p>
      </dgm:t>
    </dgm:pt>
    <dgm:pt modelId="{B35CD7F1-0104-43FE-960E-267C6F84B1BB}" type="sibTrans" cxnId="{0ADC8C2E-8BD7-49A7-9EE5-3695274743B2}">
      <dgm:prSet/>
      <dgm:spPr/>
      <dgm:t>
        <a:bodyPr/>
        <a:lstStyle/>
        <a:p>
          <a:endParaRPr lang="en-US"/>
        </a:p>
      </dgm:t>
    </dgm:pt>
    <dgm:pt modelId="{879ED3F3-D8CF-4E7A-819D-A4FF2D3E039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Начало работы над проектом</a:t>
          </a:r>
        </a:p>
      </dgm:t>
    </dgm:pt>
    <dgm:pt modelId="{1ED2F7D6-8F3C-440F-9471-54AC14CCE456}" type="parTrans" cxnId="{B484D95E-D891-4D34-8750-AD6022D99D43}">
      <dgm:prSet/>
      <dgm:spPr/>
      <dgm:t>
        <a:bodyPr/>
        <a:lstStyle/>
        <a:p>
          <a:endParaRPr lang="en-US"/>
        </a:p>
      </dgm:t>
    </dgm:pt>
    <dgm:pt modelId="{B345FE86-D9FF-4E16-9132-D1A00AA6B5ED}" type="sibTrans" cxnId="{B484D95E-D891-4D34-8750-AD6022D99D43}">
      <dgm:prSet/>
      <dgm:spPr/>
      <dgm:t>
        <a:bodyPr/>
        <a:lstStyle/>
        <a:p>
          <a:endParaRPr lang="en-US"/>
        </a:p>
      </dgm:t>
    </dgm:pt>
    <dgm:pt modelId="{630655FD-4850-4D28-8E02-18DA55099EF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Стартовые совещания</a:t>
          </a:r>
        </a:p>
      </dgm:t>
    </dgm:pt>
    <dgm:pt modelId="{594C8601-484D-4200-A3AA-9751EB68CAC8}" type="parTrans" cxnId="{30B43766-BF2D-4F8E-944B-2BDCF6AF1EA6}">
      <dgm:prSet/>
      <dgm:spPr/>
      <dgm:t>
        <a:bodyPr/>
        <a:lstStyle/>
        <a:p>
          <a:endParaRPr lang="en-US"/>
        </a:p>
      </dgm:t>
    </dgm:pt>
    <dgm:pt modelId="{F9F4A082-EDC3-4B82-A1FE-ECBEF4117E03}" type="sibTrans" cxnId="{30B43766-BF2D-4F8E-944B-2BDCF6AF1EA6}">
      <dgm:prSet/>
      <dgm:spPr/>
      <dgm:t>
        <a:bodyPr/>
        <a:lstStyle/>
        <a:p>
          <a:endParaRPr lang="en-US"/>
        </a:p>
      </dgm:t>
    </dgm:pt>
    <dgm:pt modelId="{079DF4A9-AA85-4BB8-AA93-FC7B6B87B974}">
      <dgm:prSet phldrT="[Текст]"/>
      <dgm:spPr/>
      <dgm:t>
        <a:bodyPr/>
        <a:lstStyle/>
        <a:p>
          <a:r>
            <a:rPr lang="en-US"/>
            <a:t>Проверка</a:t>
          </a:r>
        </a:p>
      </dgm:t>
    </dgm:pt>
    <dgm:pt modelId="{5405295C-DF35-4AC1-A1A7-840B2E20F2C6}" type="parTrans" cxnId="{F2D6A5B2-68AC-4F2F-9FB3-3F3C30E74F40}">
      <dgm:prSet/>
      <dgm:spPr/>
      <dgm:t>
        <a:bodyPr/>
        <a:lstStyle/>
        <a:p>
          <a:endParaRPr lang="en-US"/>
        </a:p>
      </dgm:t>
    </dgm:pt>
    <dgm:pt modelId="{E4CA04F7-33F0-4477-AE9A-6913C05B9282}" type="sibTrans" cxnId="{F2D6A5B2-68AC-4F2F-9FB3-3F3C30E74F40}">
      <dgm:prSet/>
      <dgm:spPr/>
      <dgm:t>
        <a:bodyPr/>
        <a:lstStyle/>
        <a:p>
          <a:endParaRPr lang="en-US"/>
        </a:p>
      </dgm:t>
    </dgm:pt>
    <dgm:pt modelId="{ED1A39F8-CDF7-4C4A-A9F7-1AC8DED62821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Среда тестирования</a:t>
          </a:r>
        </a:p>
      </dgm:t>
    </dgm:pt>
    <dgm:pt modelId="{3AC2C361-C6C3-43C3-BE75-E5E46C38EFBF}" type="parTrans" cxnId="{B5EB0DC4-666D-41A3-A10E-79CE9D793CE3}">
      <dgm:prSet/>
      <dgm:spPr/>
      <dgm:t>
        <a:bodyPr/>
        <a:lstStyle/>
        <a:p>
          <a:endParaRPr lang="en-US"/>
        </a:p>
      </dgm:t>
    </dgm:pt>
    <dgm:pt modelId="{9B4ED999-E1E9-4D4D-8473-607963157A4E}" type="sibTrans" cxnId="{B5EB0DC4-666D-41A3-A10E-79CE9D793CE3}">
      <dgm:prSet/>
      <dgm:spPr/>
      <dgm:t>
        <a:bodyPr/>
        <a:lstStyle/>
        <a:p>
          <a:endParaRPr lang="en-US"/>
        </a:p>
      </dgm:t>
    </dgm:pt>
    <dgm:pt modelId="{146D7750-EF4F-406C-AA7C-99DAB2C76102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Выполнение сервера</a:t>
          </a:r>
        </a:p>
      </dgm:t>
    </dgm:pt>
    <dgm:pt modelId="{E2373A2B-7344-4FBA-BCCA-BDD0026A41A5}" type="parTrans" cxnId="{5C21E403-3868-4CB7-ADD4-3CB95E521EE4}">
      <dgm:prSet/>
      <dgm:spPr/>
      <dgm:t>
        <a:bodyPr/>
        <a:lstStyle/>
        <a:p>
          <a:endParaRPr lang="en-US"/>
        </a:p>
      </dgm:t>
    </dgm:pt>
    <dgm:pt modelId="{5E75DB24-E7A2-401E-A9DC-52237F2BB5E1}" type="sibTrans" cxnId="{5C21E403-3868-4CB7-ADD4-3CB95E521EE4}">
      <dgm:prSet/>
      <dgm:spPr/>
      <dgm:t>
        <a:bodyPr/>
        <a:lstStyle/>
        <a:p>
          <a:endParaRPr lang="en-US"/>
        </a:p>
      </dgm:t>
    </dgm:pt>
    <dgm:pt modelId="{73566A22-A90D-4B02-A84F-969E550FD35D}">
      <dgm:prSet phldrT="[Текст]"/>
      <dgm:spPr/>
      <dgm:t>
        <a:bodyPr/>
        <a:lstStyle/>
        <a:p>
          <a:r>
            <a:rPr lang="en-US"/>
            <a:t>Развертывание</a:t>
          </a:r>
        </a:p>
      </dgm:t>
    </dgm:pt>
    <dgm:pt modelId="{3D6B03DD-C8F1-4BF9-864F-205233C41232}" type="parTrans" cxnId="{B0C135A5-E7E7-4E50-B575-51C0488C9DB7}">
      <dgm:prSet/>
      <dgm:spPr/>
      <dgm:t>
        <a:bodyPr/>
        <a:lstStyle/>
        <a:p>
          <a:endParaRPr lang="en-US"/>
        </a:p>
      </dgm:t>
    </dgm:pt>
    <dgm:pt modelId="{B0504A18-CF32-49DC-BBCC-31ADD7096DD6}" type="sibTrans" cxnId="{B0C135A5-E7E7-4E50-B575-51C0488C9DB7}">
      <dgm:prSet/>
      <dgm:spPr/>
      <dgm:t>
        <a:bodyPr/>
        <a:lstStyle/>
        <a:p>
          <a:endParaRPr lang="en-US"/>
        </a:p>
      </dgm:t>
    </dgm:pt>
    <dgm:pt modelId="{75E2C09E-32A6-423E-B1EE-0BA633BFBD66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Выполнение</a:t>
          </a:r>
        </a:p>
      </dgm:t>
    </dgm:pt>
    <dgm:pt modelId="{19E774E2-8BED-4611-AAA4-FC90C46911B1}" type="parTrans" cxnId="{274C5411-EB9B-4E36-8390-EF81A7E4D0B7}">
      <dgm:prSet/>
      <dgm:spPr/>
      <dgm:t>
        <a:bodyPr/>
        <a:lstStyle/>
        <a:p>
          <a:endParaRPr lang="en-US"/>
        </a:p>
      </dgm:t>
    </dgm:pt>
    <dgm:pt modelId="{9B9B2538-24AC-4C2E-9227-17D18B4755DF}" type="sibTrans" cxnId="{274C5411-EB9B-4E36-8390-EF81A7E4D0B7}">
      <dgm:prSet/>
      <dgm:spPr/>
      <dgm:t>
        <a:bodyPr/>
        <a:lstStyle/>
        <a:p>
          <a:endParaRPr lang="en-US"/>
        </a:p>
      </dgm:t>
    </dgm:pt>
    <dgm:pt modelId="{916FF999-0780-4252-9A76-1F31FC1FAED9}">
      <dgm:prSet phldrT="[Текст]"/>
      <dgm:spPr/>
      <dgm:t>
        <a:bodyPr/>
        <a:lstStyle/>
        <a:p>
          <a:r>
            <a:rPr lang="en-US">
              <a:solidFill>
                <a:schemeClr val="tx1">
                  <a:lumMod val="50000"/>
                  <a:lumOff val="50000"/>
                </a:schemeClr>
              </a:solidFill>
            </a:rPr>
            <a:t>Прослушивание доклада</a:t>
          </a:r>
        </a:p>
      </dgm:t>
    </dgm:pt>
    <dgm:pt modelId="{2B539AA8-FD94-4646-BD0C-408371015408}" type="parTrans" cxnId="{5686AA92-5DA1-4406-98F9-95BE26D0804E}">
      <dgm:prSet/>
      <dgm:spPr/>
      <dgm:t>
        <a:bodyPr/>
        <a:lstStyle/>
        <a:p>
          <a:endParaRPr lang="en-US"/>
        </a:p>
      </dgm:t>
    </dgm:pt>
    <dgm:pt modelId="{58603B1F-F9A7-4E98-9F66-BA22A54B2DDD}" type="sibTrans" cxnId="{5686AA92-5DA1-4406-98F9-95BE26D0804E}">
      <dgm:prSet/>
      <dgm:spPr/>
      <dgm:t>
        <a:bodyPr/>
        <a:lstStyle/>
        <a:p>
          <a:endParaRPr lang="en-US"/>
        </a:p>
      </dgm:t>
    </dgm:pt>
    <dgm:pt modelId="{C04EAA2E-37CE-472F-BCAE-A55649E62236}" type="pres">
      <dgm:prSet presAssocID="{6B5DEAA1-95CB-46AF-92C6-F1CFE406E930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560E0F2-C619-43EE-932F-3D8A9EC73694}" type="pres">
      <dgm:prSet presAssocID="{1E9190D0-3CD5-47F7-9663-857AFD1EEF38}" presName="compNode" presStyleCnt="0"/>
      <dgm:spPr/>
      <dgm:t>
        <a:bodyPr/>
        <a:lstStyle/>
        <a:p>
          <a:endParaRPr lang="en-US"/>
        </a:p>
      </dgm:t>
    </dgm:pt>
    <dgm:pt modelId="{620FF4C3-FD64-4F19-A657-81431A24101F}" type="pres">
      <dgm:prSet presAssocID="{1E9190D0-3CD5-47F7-9663-857AFD1EEF38}" presName="noGeometry" presStyleCnt="0"/>
      <dgm:spPr/>
      <dgm:t>
        <a:bodyPr/>
        <a:lstStyle/>
        <a:p>
          <a:endParaRPr lang="en-US"/>
        </a:p>
      </dgm:t>
    </dgm:pt>
    <dgm:pt modelId="{2025EDD4-C392-4147-9340-265CFD85A9F4}" type="pres">
      <dgm:prSet presAssocID="{1E9190D0-3CD5-47F7-9663-857AFD1EEF38}" presName="childTextVisible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82F580-38AF-4241-8154-6E3B3722A7FD}" type="pres">
      <dgm:prSet presAssocID="{1E9190D0-3CD5-47F7-9663-857AFD1EEF38}" presName="childTextHidden" presStyleLbl="bgAccFollowNode1" presStyleIdx="0" presStyleCnt="3"/>
      <dgm:spPr/>
      <dgm:t>
        <a:bodyPr/>
        <a:lstStyle/>
        <a:p>
          <a:endParaRPr lang="en-US"/>
        </a:p>
      </dgm:t>
    </dgm:pt>
    <dgm:pt modelId="{6B71D5D5-B32F-4DBC-B166-43CE6D061E2D}" type="pres">
      <dgm:prSet presAssocID="{1E9190D0-3CD5-47F7-9663-857AFD1EEF38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7B38E4-C188-464F-8EEA-7B00E69F5CF9}" type="pres">
      <dgm:prSet presAssocID="{1E9190D0-3CD5-47F7-9663-857AFD1EEF38}" presName="aSpace" presStyleCnt="0"/>
      <dgm:spPr/>
      <dgm:t>
        <a:bodyPr/>
        <a:lstStyle/>
        <a:p>
          <a:endParaRPr lang="en-US"/>
        </a:p>
      </dgm:t>
    </dgm:pt>
    <dgm:pt modelId="{EB20307C-CE60-4E68-8B98-996D7F60464A}" type="pres">
      <dgm:prSet presAssocID="{079DF4A9-AA85-4BB8-AA93-FC7B6B87B974}" presName="compNode" presStyleCnt="0"/>
      <dgm:spPr/>
      <dgm:t>
        <a:bodyPr/>
        <a:lstStyle/>
        <a:p>
          <a:endParaRPr lang="en-US"/>
        </a:p>
      </dgm:t>
    </dgm:pt>
    <dgm:pt modelId="{D10B9330-8BCA-457B-B674-FFC7714C697E}" type="pres">
      <dgm:prSet presAssocID="{079DF4A9-AA85-4BB8-AA93-FC7B6B87B974}" presName="noGeometry" presStyleCnt="0"/>
      <dgm:spPr/>
      <dgm:t>
        <a:bodyPr/>
        <a:lstStyle/>
        <a:p>
          <a:endParaRPr lang="en-US"/>
        </a:p>
      </dgm:t>
    </dgm:pt>
    <dgm:pt modelId="{1972FC24-3F66-4BBB-A61C-F7EEAC6F10E5}" type="pres">
      <dgm:prSet presAssocID="{079DF4A9-AA85-4BB8-AA93-FC7B6B87B974}" presName="childTextVisible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0EC386-DDA7-4ED8-A90E-46D65F5E83A0}" type="pres">
      <dgm:prSet presAssocID="{079DF4A9-AA85-4BB8-AA93-FC7B6B87B974}" presName="childTextHidden" presStyleLbl="bgAccFollowNode1" presStyleIdx="1" presStyleCnt="3"/>
      <dgm:spPr/>
      <dgm:t>
        <a:bodyPr/>
        <a:lstStyle/>
        <a:p>
          <a:endParaRPr lang="en-US"/>
        </a:p>
      </dgm:t>
    </dgm:pt>
    <dgm:pt modelId="{135A1330-C53F-4280-9F75-72E5F57575C0}" type="pres">
      <dgm:prSet presAssocID="{079DF4A9-AA85-4BB8-AA93-FC7B6B87B974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97C16B0-5920-4AB2-8F5E-E4007A499801}" type="pres">
      <dgm:prSet presAssocID="{079DF4A9-AA85-4BB8-AA93-FC7B6B87B974}" presName="aSpace" presStyleCnt="0"/>
      <dgm:spPr/>
      <dgm:t>
        <a:bodyPr/>
        <a:lstStyle/>
        <a:p>
          <a:endParaRPr lang="en-US"/>
        </a:p>
      </dgm:t>
    </dgm:pt>
    <dgm:pt modelId="{E04F4A08-E8A5-48C4-AA19-0704DFD45B5E}" type="pres">
      <dgm:prSet presAssocID="{73566A22-A90D-4B02-A84F-969E550FD35D}" presName="compNode" presStyleCnt="0"/>
      <dgm:spPr/>
      <dgm:t>
        <a:bodyPr/>
        <a:lstStyle/>
        <a:p>
          <a:endParaRPr lang="en-US"/>
        </a:p>
      </dgm:t>
    </dgm:pt>
    <dgm:pt modelId="{7FD8E25D-5E9D-4B0F-9A6F-E484FFFCA9AF}" type="pres">
      <dgm:prSet presAssocID="{73566A22-A90D-4B02-A84F-969E550FD35D}" presName="noGeometry" presStyleCnt="0"/>
      <dgm:spPr/>
      <dgm:t>
        <a:bodyPr/>
        <a:lstStyle/>
        <a:p>
          <a:endParaRPr lang="en-US"/>
        </a:p>
      </dgm:t>
    </dgm:pt>
    <dgm:pt modelId="{80D67276-36E8-4B45-A3E8-6908D9CFD5C2}" type="pres">
      <dgm:prSet presAssocID="{73566A22-A90D-4B02-A84F-969E550FD35D}" presName="childTextVisible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6A08D5-85BB-4BFE-BBAB-E341082BF72C}" type="pres">
      <dgm:prSet presAssocID="{73566A22-A90D-4B02-A84F-969E550FD35D}" presName="childTextHidden" presStyleLbl="bgAccFollowNode1" presStyleIdx="2" presStyleCnt="3"/>
      <dgm:spPr/>
      <dgm:t>
        <a:bodyPr/>
        <a:lstStyle/>
        <a:p>
          <a:endParaRPr lang="en-US"/>
        </a:p>
      </dgm:t>
    </dgm:pt>
    <dgm:pt modelId="{B55CB696-8B11-48BA-86C8-2173FC71FB09}" type="pres">
      <dgm:prSet presAssocID="{73566A22-A90D-4B02-A84F-969E550FD35D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5AFAD23-19F2-4B07-91FC-BBC87DADB8C5}" type="presOf" srcId="{75E2C09E-32A6-423E-B1EE-0BA633BFBD66}" destId="{6D6A08D5-85BB-4BFE-BBAB-E341082BF72C}" srcOrd="1" destOrd="0" presId="urn:microsoft.com/office/officeart/2005/8/layout/hProcess6"/>
    <dgm:cxn modelId="{65E0837C-01DE-4B3F-ACAE-3784EE835A2C}" type="presOf" srcId="{146D7750-EF4F-406C-AA7C-99DAB2C76102}" destId="{1972FC24-3F66-4BBB-A61C-F7EEAC6F10E5}" srcOrd="0" destOrd="1" presId="urn:microsoft.com/office/officeart/2005/8/layout/hProcess6"/>
    <dgm:cxn modelId="{1ECB96E2-2B53-4130-8FF0-AF7D4AA37A2F}" type="presOf" srcId="{1E9190D0-3CD5-47F7-9663-857AFD1EEF38}" destId="{6B71D5D5-B32F-4DBC-B166-43CE6D061E2D}" srcOrd="0" destOrd="0" presId="urn:microsoft.com/office/officeart/2005/8/layout/hProcess6"/>
    <dgm:cxn modelId="{8CE802C6-86DC-4D16-8AEE-003550269EEC}" type="presOf" srcId="{146D7750-EF4F-406C-AA7C-99DAB2C76102}" destId="{070EC386-DDA7-4ED8-A90E-46D65F5E83A0}" srcOrd="1" destOrd="1" presId="urn:microsoft.com/office/officeart/2005/8/layout/hProcess6"/>
    <dgm:cxn modelId="{F2D6A5B2-68AC-4F2F-9FB3-3F3C30E74F40}" srcId="{6B5DEAA1-95CB-46AF-92C6-F1CFE406E930}" destId="{079DF4A9-AA85-4BB8-AA93-FC7B6B87B974}" srcOrd="1" destOrd="0" parTransId="{5405295C-DF35-4AC1-A1A7-840B2E20F2C6}" sibTransId="{E4CA04F7-33F0-4477-AE9A-6913C05B9282}"/>
    <dgm:cxn modelId="{274C5411-EB9B-4E36-8390-EF81A7E4D0B7}" srcId="{73566A22-A90D-4B02-A84F-969E550FD35D}" destId="{75E2C09E-32A6-423E-B1EE-0BA633BFBD66}" srcOrd="0" destOrd="0" parTransId="{19E774E2-8BED-4611-AAA4-FC90C46911B1}" sibTransId="{9B9B2538-24AC-4C2E-9227-17D18B4755DF}"/>
    <dgm:cxn modelId="{C12DB54A-9923-4F80-9F99-4FA4A79BFF11}" type="presOf" srcId="{630655FD-4850-4D28-8E02-18DA55099EF1}" destId="{6682F580-38AF-4241-8154-6E3B3722A7FD}" srcOrd="1" destOrd="1" presId="urn:microsoft.com/office/officeart/2005/8/layout/hProcess6"/>
    <dgm:cxn modelId="{C1A9DCA2-A38C-4FA7-818D-2C2278A60AFB}" type="presOf" srcId="{75E2C09E-32A6-423E-B1EE-0BA633BFBD66}" destId="{80D67276-36E8-4B45-A3E8-6908D9CFD5C2}" srcOrd="0" destOrd="0" presId="urn:microsoft.com/office/officeart/2005/8/layout/hProcess6"/>
    <dgm:cxn modelId="{B0C135A5-E7E7-4E50-B575-51C0488C9DB7}" srcId="{6B5DEAA1-95CB-46AF-92C6-F1CFE406E930}" destId="{73566A22-A90D-4B02-A84F-969E550FD35D}" srcOrd="2" destOrd="0" parTransId="{3D6B03DD-C8F1-4BF9-864F-205233C41232}" sibTransId="{B0504A18-CF32-49DC-BBCC-31ADD7096DD6}"/>
    <dgm:cxn modelId="{B484D95E-D891-4D34-8750-AD6022D99D43}" srcId="{1E9190D0-3CD5-47F7-9663-857AFD1EEF38}" destId="{879ED3F3-D8CF-4E7A-819D-A4FF2D3E0391}" srcOrd="0" destOrd="0" parTransId="{1ED2F7D6-8F3C-440F-9471-54AC14CCE456}" sibTransId="{B345FE86-D9FF-4E16-9132-D1A00AA6B5ED}"/>
    <dgm:cxn modelId="{B5EB0DC4-666D-41A3-A10E-79CE9D793CE3}" srcId="{079DF4A9-AA85-4BB8-AA93-FC7B6B87B974}" destId="{ED1A39F8-CDF7-4C4A-A9F7-1AC8DED62821}" srcOrd="0" destOrd="0" parTransId="{3AC2C361-C6C3-43C3-BE75-E5E46C38EFBF}" sibTransId="{9B4ED999-E1E9-4D4D-8473-607963157A4E}"/>
    <dgm:cxn modelId="{5863E8D0-3806-475F-AFC3-B8668BB3D95E}" type="presOf" srcId="{ED1A39F8-CDF7-4C4A-A9F7-1AC8DED62821}" destId="{1972FC24-3F66-4BBB-A61C-F7EEAC6F10E5}" srcOrd="0" destOrd="0" presId="urn:microsoft.com/office/officeart/2005/8/layout/hProcess6"/>
    <dgm:cxn modelId="{6BCF0D6A-C57D-4550-B45B-A279694B629F}" type="presOf" srcId="{ED1A39F8-CDF7-4C4A-A9F7-1AC8DED62821}" destId="{070EC386-DDA7-4ED8-A90E-46D65F5E83A0}" srcOrd="1" destOrd="0" presId="urn:microsoft.com/office/officeart/2005/8/layout/hProcess6"/>
    <dgm:cxn modelId="{30B43766-BF2D-4F8E-944B-2BDCF6AF1EA6}" srcId="{1E9190D0-3CD5-47F7-9663-857AFD1EEF38}" destId="{630655FD-4850-4D28-8E02-18DA55099EF1}" srcOrd="1" destOrd="0" parTransId="{594C8601-484D-4200-A3AA-9751EB68CAC8}" sibTransId="{F9F4A082-EDC3-4B82-A1FE-ECBEF4117E03}"/>
    <dgm:cxn modelId="{FD2E18AC-AA05-4641-9601-18D5946CCC1F}" type="presOf" srcId="{879ED3F3-D8CF-4E7A-819D-A4FF2D3E0391}" destId="{6682F580-38AF-4241-8154-6E3B3722A7FD}" srcOrd="1" destOrd="0" presId="urn:microsoft.com/office/officeart/2005/8/layout/hProcess6"/>
    <dgm:cxn modelId="{F1736E13-AE34-485E-A778-22068FF9AC2D}" type="presOf" srcId="{079DF4A9-AA85-4BB8-AA93-FC7B6B87B974}" destId="{135A1330-C53F-4280-9F75-72E5F57575C0}" srcOrd="0" destOrd="0" presId="urn:microsoft.com/office/officeart/2005/8/layout/hProcess6"/>
    <dgm:cxn modelId="{5C21E403-3868-4CB7-ADD4-3CB95E521EE4}" srcId="{079DF4A9-AA85-4BB8-AA93-FC7B6B87B974}" destId="{146D7750-EF4F-406C-AA7C-99DAB2C76102}" srcOrd="1" destOrd="0" parTransId="{E2373A2B-7344-4FBA-BCCA-BDD0026A41A5}" sibTransId="{5E75DB24-E7A2-401E-A9DC-52237F2BB5E1}"/>
    <dgm:cxn modelId="{BF9BE7A0-8C10-413B-A16A-ECA56241B75F}" type="presOf" srcId="{6B5DEAA1-95CB-46AF-92C6-F1CFE406E930}" destId="{C04EAA2E-37CE-472F-BCAE-A55649E62236}" srcOrd="0" destOrd="0" presId="urn:microsoft.com/office/officeart/2005/8/layout/hProcess6"/>
    <dgm:cxn modelId="{0A558AAB-396E-461F-BE7F-E1F8592ED85F}" type="presOf" srcId="{916FF999-0780-4252-9A76-1F31FC1FAED9}" destId="{6D6A08D5-85BB-4BFE-BBAB-E341082BF72C}" srcOrd="1" destOrd="1" presId="urn:microsoft.com/office/officeart/2005/8/layout/hProcess6"/>
    <dgm:cxn modelId="{64E4E57C-1531-4409-9041-A689BA3D6916}" type="presOf" srcId="{73566A22-A90D-4B02-A84F-969E550FD35D}" destId="{B55CB696-8B11-48BA-86C8-2173FC71FB09}" srcOrd="0" destOrd="0" presId="urn:microsoft.com/office/officeart/2005/8/layout/hProcess6"/>
    <dgm:cxn modelId="{234B5CA5-9A1C-4F4B-8B05-FA75D9002511}" type="presOf" srcId="{916FF999-0780-4252-9A76-1F31FC1FAED9}" destId="{80D67276-36E8-4B45-A3E8-6908D9CFD5C2}" srcOrd="0" destOrd="1" presId="urn:microsoft.com/office/officeart/2005/8/layout/hProcess6"/>
    <dgm:cxn modelId="{0ADC8C2E-8BD7-49A7-9EE5-3695274743B2}" srcId="{6B5DEAA1-95CB-46AF-92C6-F1CFE406E930}" destId="{1E9190D0-3CD5-47F7-9663-857AFD1EEF38}" srcOrd="0" destOrd="0" parTransId="{DE87305A-754C-4BF8-9398-C046CEA89CF0}" sibTransId="{B35CD7F1-0104-43FE-960E-267C6F84B1BB}"/>
    <dgm:cxn modelId="{376862E5-E9CF-42B7-92A8-A18D7B268F8A}" type="presOf" srcId="{630655FD-4850-4D28-8E02-18DA55099EF1}" destId="{2025EDD4-C392-4147-9340-265CFD85A9F4}" srcOrd="0" destOrd="1" presId="urn:microsoft.com/office/officeart/2005/8/layout/hProcess6"/>
    <dgm:cxn modelId="{CAB35F39-3406-4A63-ACBE-F4D13F951E33}" type="presOf" srcId="{879ED3F3-D8CF-4E7A-819D-A4FF2D3E0391}" destId="{2025EDD4-C392-4147-9340-265CFD85A9F4}" srcOrd="0" destOrd="0" presId="urn:microsoft.com/office/officeart/2005/8/layout/hProcess6"/>
    <dgm:cxn modelId="{5686AA92-5DA1-4406-98F9-95BE26D0804E}" srcId="{73566A22-A90D-4B02-A84F-969E550FD35D}" destId="{916FF999-0780-4252-9A76-1F31FC1FAED9}" srcOrd="1" destOrd="0" parTransId="{2B539AA8-FD94-4646-BD0C-408371015408}" sibTransId="{58603B1F-F9A7-4E98-9F66-BA22A54B2DDD}"/>
    <dgm:cxn modelId="{8C741CFD-128B-4D26-97AC-7BD71753BCFD}" type="presParOf" srcId="{C04EAA2E-37CE-472F-BCAE-A55649E62236}" destId="{8560E0F2-C619-43EE-932F-3D8A9EC73694}" srcOrd="0" destOrd="0" presId="urn:microsoft.com/office/officeart/2005/8/layout/hProcess6"/>
    <dgm:cxn modelId="{8D44EB08-4D79-45CC-AE38-A6C3B44652B6}" type="presParOf" srcId="{8560E0F2-C619-43EE-932F-3D8A9EC73694}" destId="{620FF4C3-FD64-4F19-A657-81431A24101F}" srcOrd="0" destOrd="0" presId="urn:microsoft.com/office/officeart/2005/8/layout/hProcess6"/>
    <dgm:cxn modelId="{9C99A861-CCE6-4D62-8A16-9407C64B507E}" type="presParOf" srcId="{8560E0F2-C619-43EE-932F-3D8A9EC73694}" destId="{2025EDD4-C392-4147-9340-265CFD85A9F4}" srcOrd="1" destOrd="0" presId="urn:microsoft.com/office/officeart/2005/8/layout/hProcess6"/>
    <dgm:cxn modelId="{7AE1BB28-BE8F-4968-8103-1DA887371CB7}" type="presParOf" srcId="{8560E0F2-C619-43EE-932F-3D8A9EC73694}" destId="{6682F580-38AF-4241-8154-6E3B3722A7FD}" srcOrd="2" destOrd="0" presId="urn:microsoft.com/office/officeart/2005/8/layout/hProcess6"/>
    <dgm:cxn modelId="{2A98DE3A-C362-40A0-843E-866403A66D9B}" type="presParOf" srcId="{8560E0F2-C619-43EE-932F-3D8A9EC73694}" destId="{6B71D5D5-B32F-4DBC-B166-43CE6D061E2D}" srcOrd="3" destOrd="0" presId="urn:microsoft.com/office/officeart/2005/8/layout/hProcess6"/>
    <dgm:cxn modelId="{CC342DF5-5F72-421B-908B-B2E239F9C7A2}" type="presParOf" srcId="{C04EAA2E-37CE-472F-BCAE-A55649E62236}" destId="{617B38E4-C188-464F-8EEA-7B00E69F5CF9}" srcOrd="1" destOrd="0" presId="urn:microsoft.com/office/officeart/2005/8/layout/hProcess6"/>
    <dgm:cxn modelId="{A3FECB57-2CCF-40FA-8887-D7A32BF21143}" type="presParOf" srcId="{C04EAA2E-37CE-472F-BCAE-A55649E62236}" destId="{EB20307C-CE60-4E68-8B98-996D7F60464A}" srcOrd="2" destOrd="0" presId="urn:microsoft.com/office/officeart/2005/8/layout/hProcess6"/>
    <dgm:cxn modelId="{2668F1A6-444F-4307-B5A9-793840EE9754}" type="presParOf" srcId="{EB20307C-CE60-4E68-8B98-996D7F60464A}" destId="{D10B9330-8BCA-457B-B674-FFC7714C697E}" srcOrd="0" destOrd="0" presId="urn:microsoft.com/office/officeart/2005/8/layout/hProcess6"/>
    <dgm:cxn modelId="{0FA24F8E-89FE-40A1-A745-5661DBF64519}" type="presParOf" srcId="{EB20307C-CE60-4E68-8B98-996D7F60464A}" destId="{1972FC24-3F66-4BBB-A61C-F7EEAC6F10E5}" srcOrd="1" destOrd="0" presId="urn:microsoft.com/office/officeart/2005/8/layout/hProcess6"/>
    <dgm:cxn modelId="{0BF097A8-A239-4BA1-BAE7-C87BC0E02545}" type="presParOf" srcId="{EB20307C-CE60-4E68-8B98-996D7F60464A}" destId="{070EC386-DDA7-4ED8-A90E-46D65F5E83A0}" srcOrd="2" destOrd="0" presId="urn:microsoft.com/office/officeart/2005/8/layout/hProcess6"/>
    <dgm:cxn modelId="{FBE0E4F1-26C4-487D-A2C1-38F4E9A73C71}" type="presParOf" srcId="{EB20307C-CE60-4E68-8B98-996D7F60464A}" destId="{135A1330-C53F-4280-9F75-72E5F57575C0}" srcOrd="3" destOrd="0" presId="urn:microsoft.com/office/officeart/2005/8/layout/hProcess6"/>
    <dgm:cxn modelId="{25D6DAC5-9CCB-4E35-B2C8-4591EF557D48}" type="presParOf" srcId="{C04EAA2E-37CE-472F-BCAE-A55649E62236}" destId="{B97C16B0-5920-4AB2-8F5E-E4007A499801}" srcOrd="3" destOrd="0" presId="urn:microsoft.com/office/officeart/2005/8/layout/hProcess6"/>
    <dgm:cxn modelId="{0B4B7052-2DE4-4689-B7C3-91B5A09EF4D4}" type="presParOf" srcId="{C04EAA2E-37CE-472F-BCAE-A55649E62236}" destId="{E04F4A08-E8A5-48C4-AA19-0704DFD45B5E}" srcOrd="4" destOrd="0" presId="urn:microsoft.com/office/officeart/2005/8/layout/hProcess6"/>
    <dgm:cxn modelId="{F7F36DA0-D4EB-4C6D-85D5-45FF17AD6983}" type="presParOf" srcId="{E04F4A08-E8A5-48C4-AA19-0704DFD45B5E}" destId="{7FD8E25D-5E9D-4B0F-9A6F-E484FFFCA9AF}" srcOrd="0" destOrd="0" presId="urn:microsoft.com/office/officeart/2005/8/layout/hProcess6"/>
    <dgm:cxn modelId="{4BBBA96C-1F7F-474D-B35A-215D2497C2A9}" type="presParOf" srcId="{E04F4A08-E8A5-48C4-AA19-0704DFD45B5E}" destId="{80D67276-36E8-4B45-A3E8-6908D9CFD5C2}" srcOrd="1" destOrd="0" presId="urn:microsoft.com/office/officeart/2005/8/layout/hProcess6"/>
    <dgm:cxn modelId="{1EDB2A53-8F71-41C0-A171-66226CFE3F8D}" type="presParOf" srcId="{E04F4A08-E8A5-48C4-AA19-0704DFD45B5E}" destId="{6D6A08D5-85BB-4BFE-BBAB-E341082BF72C}" srcOrd="2" destOrd="0" presId="urn:microsoft.com/office/officeart/2005/8/layout/hProcess6"/>
    <dgm:cxn modelId="{9CE9E824-8042-4B09-9EFF-EF8866F1D120}" type="presParOf" srcId="{E04F4A08-E8A5-48C4-AA19-0704DFD45B5E}" destId="{B55CB696-8B11-48BA-86C8-2173FC71FB09}" srcOrd="3" destOrd="0" presId="urn:microsoft.com/office/officeart/2005/8/layout/hProcess6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25EDD4-C392-4147-9340-265CFD85A9F4}">
      <dsp:nvSpPr>
        <dsp:cNvPr id="0" name=""/>
        <dsp:cNvSpPr/>
      </dsp:nvSpPr>
      <dsp:spPr>
        <a:xfrm>
          <a:off x="296235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3175" rIns="6350" bIns="3175" numCol="1" spcCol="1270" anchor="ctr" anchorCtr="0">
          <a:noAutofit/>
        </a:bodyPr>
        <a:lstStyle/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Начало работы над проектом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Стартовые совещания</a:t>
          </a:r>
        </a:p>
      </dsp:txBody>
      <dsp:txXfrm>
        <a:off x="590242" y="178452"/>
        <a:ext cx="573315" cy="719599"/>
      </dsp:txXfrm>
    </dsp:sp>
    <dsp:sp modelId="{6B71D5D5-B32F-4DBC-B166-43CE6D061E2D}">
      <dsp:nvSpPr>
        <dsp:cNvPr id="0" name=""/>
        <dsp:cNvSpPr/>
      </dsp:nvSpPr>
      <dsp:spPr>
        <a:xfrm>
          <a:off x="2227" y="244244"/>
          <a:ext cx="588015" cy="58801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brightRoom" dir="tl">
            <a:rot lat="0" lon="0" rev="1800000"/>
          </a:lightRig>
        </a:scene3d>
        <a:sp3d contourW="10160" prstMaterial="dkEdge">
          <a:bevelT w="38100" h="50800" prst="angle"/>
          <a:contourClr>
            <a:schemeClr val="accent2">
              <a:hueOff val="0"/>
              <a:satOff val="0"/>
              <a:lumOff val="0"/>
              <a:alphaOff val="0"/>
              <a:shade val="40000"/>
              <a:satMod val="15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Утверждение</a:t>
          </a:r>
        </a:p>
      </dsp:txBody>
      <dsp:txXfrm>
        <a:off x="88340" y="330357"/>
        <a:ext cx="415789" cy="415789"/>
      </dsp:txXfrm>
    </dsp:sp>
    <dsp:sp modelId="{1972FC24-3F66-4BBB-A61C-F7EEAC6F10E5}">
      <dsp:nvSpPr>
        <dsp:cNvPr id="0" name=""/>
        <dsp:cNvSpPr/>
      </dsp:nvSpPr>
      <dsp:spPr>
        <a:xfrm>
          <a:off x="1839776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3175" rIns="6350" bIns="3175" numCol="1" spcCol="1270" anchor="ctr" anchorCtr="0">
          <a:noAutofit/>
        </a:bodyPr>
        <a:lstStyle/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Среда тестирования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Выполнение сервера</a:t>
          </a:r>
        </a:p>
      </dsp:txBody>
      <dsp:txXfrm>
        <a:off x="2133784" y="178452"/>
        <a:ext cx="573315" cy="719599"/>
      </dsp:txXfrm>
    </dsp:sp>
    <dsp:sp modelId="{135A1330-C53F-4280-9F75-72E5F57575C0}">
      <dsp:nvSpPr>
        <dsp:cNvPr id="0" name=""/>
        <dsp:cNvSpPr/>
      </dsp:nvSpPr>
      <dsp:spPr>
        <a:xfrm>
          <a:off x="1545768" y="244244"/>
          <a:ext cx="588015" cy="58801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brightRoom" dir="tl">
            <a:rot lat="0" lon="0" rev="1800000"/>
          </a:lightRig>
        </a:scene3d>
        <a:sp3d contourW="10160" prstMaterial="dkEdge">
          <a:bevelT w="38100" h="50800" prst="angle"/>
          <a:contourClr>
            <a:schemeClr val="accent2">
              <a:hueOff val="0"/>
              <a:satOff val="0"/>
              <a:lumOff val="0"/>
              <a:alphaOff val="0"/>
              <a:shade val="40000"/>
              <a:satMod val="15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Проверка</a:t>
          </a:r>
        </a:p>
      </dsp:txBody>
      <dsp:txXfrm>
        <a:off x="1631881" y="330357"/>
        <a:ext cx="415789" cy="415789"/>
      </dsp:txXfrm>
    </dsp:sp>
    <dsp:sp modelId="{80D67276-36E8-4B45-A3E8-6908D9CFD5C2}">
      <dsp:nvSpPr>
        <dsp:cNvPr id="0" name=""/>
        <dsp:cNvSpPr/>
      </dsp:nvSpPr>
      <dsp:spPr>
        <a:xfrm>
          <a:off x="3383317" y="24252"/>
          <a:ext cx="1176031" cy="1027999"/>
        </a:xfrm>
        <a:prstGeom prst="rightArrow">
          <a:avLst>
            <a:gd name="adj1" fmla="val 70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25400" algn="bl" rotWithShape="0">
            <a:srgbClr val="000000">
              <a:alpha val="60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2700" tIns="3175" rIns="6350" bIns="3175" numCol="1" spcCol="1270" anchor="ctr" anchorCtr="0">
          <a:noAutofit/>
        </a:bodyPr>
        <a:lstStyle/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Выполнение</a:t>
          </a:r>
        </a:p>
        <a:p>
          <a:pPr marL="57150" lvl="1" indent="-57150" algn="l" defTabSz="2222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500" kern="1200">
              <a:solidFill>
                <a:schemeClr val="tx1">
                  <a:lumMod val="50000"/>
                  <a:lumOff val="50000"/>
                </a:schemeClr>
              </a:solidFill>
            </a:rPr>
            <a:t>Прослушивание доклада</a:t>
          </a:r>
        </a:p>
      </dsp:txBody>
      <dsp:txXfrm>
        <a:off x="3677325" y="178452"/>
        <a:ext cx="573315" cy="719599"/>
      </dsp:txXfrm>
    </dsp:sp>
    <dsp:sp modelId="{B55CB696-8B11-48BA-86C8-2173FC71FB09}">
      <dsp:nvSpPr>
        <dsp:cNvPr id="0" name=""/>
        <dsp:cNvSpPr/>
      </dsp:nvSpPr>
      <dsp:spPr>
        <a:xfrm>
          <a:off x="3089309" y="244244"/>
          <a:ext cx="588015" cy="588015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brightRoom" dir="tl">
            <a:rot lat="0" lon="0" rev="1800000"/>
          </a:lightRig>
        </a:scene3d>
        <a:sp3d contourW="10160" prstMaterial="dkEdge">
          <a:bevelT w="38100" h="50800" prst="angle"/>
          <a:contourClr>
            <a:schemeClr val="accent2">
              <a:hueOff val="0"/>
              <a:satOff val="0"/>
              <a:lumOff val="0"/>
              <a:alphaOff val="0"/>
              <a:shade val="40000"/>
              <a:satMod val="15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Развертывание</a:t>
          </a:r>
        </a:p>
      </dsp:txBody>
      <dsp:txXfrm>
        <a:off x="3175422" y="330357"/>
        <a:ext cx="415789" cy="4157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507F35-B329-41B4-9BFD-82CEF0EA56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1287</Words>
  <Characters>7336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2012-09-16T19:04:00Z</dcterms:created>
  <dcterms:modified xsi:type="dcterms:W3CDTF">2012-09-16T19:04:00Z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RH025766139991</vt:lpwstr>
  </property>
  <property fmtid="{D5CDD505-2E9C-101B-9397-08002B2CF9AE}" pid="3" name="ContentTypeId">
    <vt:lpwstr>0x010100BB2780C3CC07BD4BAA623FF95716455804010061582717FAF8A74599684D3B06D75A88</vt:lpwstr>
  </property>
</Properties>
</file>